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2"/>
          <w:szCs w:val="22"/>
        </w:rPr>
        <w:t>Дело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№ </w:t>
      </w:r>
      <w:r>
        <w:rPr>
          <w:rFonts w:ascii="Times New Roman" w:eastAsia="Times New Roman" w:hAnsi="Times New Roman" w:cs="Times New Roman"/>
          <w:sz w:val="22"/>
          <w:szCs w:val="22"/>
        </w:rPr>
        <w:t>5-1</w:t>
      </w:r>
      <w:r>
        <w:rPr>
          <w:rFonts w:ascii="Times New Roman" w:eastAsia="Times New Roman" w:hAnsi="Times New Roman" w:cs="Times New Roman"/>
          <w:sz w:val="22"/>
          <w:szCs w:val="22"/>
        </w:rPr>
        <w:t>487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Dategrp-9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ХМАО-Югра,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30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Мавлютова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ч.1 ст. 12.34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должностного лица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начальника у</w:t>
      </w:r>
      <w:r>
        <w:rPr>
          <w:rFonts w:ascii="Times New Roman" w:eastAsia="Times New Roman" w:hAnsi="Times New Roman" w:cs="Times New Roman"/>
          <w:sz w:val="28"/>
          <w:szCs w:val="28"/>
        </w:rPr>
        <w:t>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Филиала 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4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OrganizationNamegrp-23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Мавлютова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Джаудата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Сабирзяновича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2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4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2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10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5rplc-1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Филиала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Мавлютов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должностным лицом, </w:t>
      </w:r>
      <w:r>
        <w:rPr>
          <w:rFonts w:ascii="Times New Roman" w:eastAsia="Times New Roman" w:hAnsi="Times New Roman" w:cs="Times New Roman"/>
          <w:sz w:val="28"/>
          <w:szCs w:val="28"/>
        </w:rPr>
        <w:t>на которое возложена обязанность по содержанию участка автомобильной дороги «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одъезд к </w:t>
      </w:r>
      <w:r>
        <w:rPr>
          <w:rStyle w:val="cat-Addressgrp-6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требованиями нормативов и стандартов в области безопасности дорожного движения, не выполнило требования </w:t>
      </w:r>
      <w:r>
        <w:rPr>
          <w:rStyle w:val="cat-Addressgrp-5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по допуску транспортных средств к эксплуатации и обязанности должностных лиц по обеспечению безопасности дорожного движения ПДД РФ», на 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км. данной автодороги допустил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наличие </w:t>
      </w:r>
      <w:r>
        <w:rPr>
          <w:rFonts w:ascii="Times New Roman" w:eastAsia="Times New Roman" w:hAnsi="Times New Roman" w:cs="Times New Roman"/>
          <w:sz w:val="28"/>
          <w:szCs w:val="28"/>
        </w:rPr>
        <w:t>сверхнормативной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выбоины глубиной 9 см. длиной 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см., </w:t>
      </w:r>
      <w:r>
        <w:rPr>
          <w:rFonts w:ascii="Times New Roman" w:eastAsia="Times New Roman" w:hAnsi="Times New Roman" w:cs="Times New Roman"/>
          <w:sz w:val="28"/>
          <w:szCs w:val="28"/>
        </w:rPr>
        <w:t>шириной 210 см.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чем нарушены требования п. 5.2.4 ГОСТ </w:t>
      </w:r>
      <w:r>
        <w:rPr>
          <w:rStyle w:val="cat-PhoneNumbergrp-26rplc-2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«Дороги автомобильные общего пользования. Требования к эксплуатационному состоянию», тем самым создана угроза безопасности дорожного движения.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Мавлютов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вину признал полностью,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 не заявлял.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следующему.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 Федерального закона от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196-ФЗ "О безопасности дорожного движения" ремонт и содержание дорог на </w:t>
      </w:r>
      <w:r>
        <w:rPr>
          <w:rStyle w:val="cat-Addressgrp-7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17 Федерального закона N 257-ФЗ,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с п.п. 13, 14 Основных положений по допуску транспортных средств к эксплуатации и обязанности должностных лиц по обеспечению безопасности дорожного движения (Утверждены Постановлением Совета Министров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1090) должностные и иные лица, ответственные за состояние дорог, железнодорожных переездов и других дорожных сооружений, обязаны: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правил;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средств, информационных щитов и средств массовой информации;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принимать меры к своевременному устранению помех для движения, запрещению или ограничению движения на отдельных участках дорог, когда пользование ими угрожает безопасности движения.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иные лица, ответственные за производство работ на дорогах, обязаны обеспечивать безопасность движения в местах проведения работ. Эти места, а также неработающие дорожные машины, строительные материалы, конструкции и тому подобное, которые не могут быть убраны за пределы дороги, должны быть обозначены соответствующими дорожными знаками, направляющими и ограждающими устройствами, а в темное время суток и в условиях недостаточной видимости – дополнительно красными или желтыми сигнальными огнями.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5.2.4 ГОСТ Р </w:t>
      </w:r>
      <w:r>
        <w:rPr>
          <w:rStyle w:val="cat-PhoneNumbergrp-27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«Дороги автомобильные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улицы. Требования к эксплуатационному состоянию, допустимому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условиям обеспечения безопасности дорожного движения. Методы контроля» </w:t>
      </w:r>
      <w:r>
        <w:rPr>
          <w:rFonts w:ascii="Times New Roman" w:eastAsia="Times New Roman" w:hAnsi="Times New Roman" w:cs="Times New Roman"/>
          <w:sz w:val="28"/>
          <w:szCs w:val="28"/>
        </w:rPr>
        <w:t>(далее – ГОСТ Р 50597-2017)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окрытие проезжей части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должно иметь дефектов в виде выбоин,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просадок, проломов, колей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иных повреждений (таблица А.1 приложения А), устранение которых осуществляют в сроки, приведенные в таблице 5.3. Указанная таблица 5.3 ГОСТ Р </w:t>
      </w:r>
      <w:r>
        <w:rPr>
          <w:rStyle w:val="cat-PhoneNumbergrp-27rplc-2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содержит р</w:t>
      </w:r>
      <w:r>
        <w:rPr>
          <w:rFonts w:ascii="Times New Roman" w:eastAsia="Times New Roman" w:hAnsi="Times New Roman" w:cs="Times New Roman"/>
          <w:sz w:val="28"/>
          <w:szCs w:val="28"/>
        </w:rPr>
        <w:t>азмеры дефектов покрытия и сроки их устранения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4.4 ГОСТ Р </w:t>
      </w:r>
      <w:r>
        <w:rPr>
          <w:rStyle w:val="cat-PhoneNumbergrp-27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устранения дефектов покрытия проезжей части, препятствующих проезду транспортных средств (изменяющих траекторию и скорость движения), таких как, отдельные выбоины, просадки или проломы, колея, выступы или углубления в зоне деформационных швов, превышающие установленные настоящим стандартом размеры, отсутствие (разрушение) крышки люка смотрового колодца, решетки дождеприемника, а также массивных предметов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проезжей части (упавшие деревья и конструкции и др.) и необработанных мест выпотевания вяжущего, участок дороги или улицы должен быть обозначен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соответствующими дорожными знаками и при необходимости огражден (в </w:t>
      </w:r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временными техническими средствами организации дорожного движения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ГОСТ 32758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 в течение двух часов с </w:t>
      </w:r>
      <w:hyperlink w:anchor="sub_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момента обнаружения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Мавлютова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Style w:val="cat-Dategrp-13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приказа (распоряжения) о пере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воде работника на другую работу; копией должностной инструкции; копией справки от </w:t>
      </w:r>
      <w:r>
        <w:rPr>
          <w:rStyle w:val="cat-Dategrp-14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Копией свидетельства о поверке; копией протокола инструментального обследования автомобильной дороги;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решения о проведении постоянного рейда;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видеофиксаци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доказательств позволяет мировому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Мавлютова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12.34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Мавлютова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 1 ст. 12.34 КоАП РФ – несоблюдение требований по обеспечению безопасности дорожного движения при содержании дорог, железнодорожных переездов или других дорожных сооружений, если пользование такими участками угрожает безопасности дорожного движения.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4.3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назначения наказания в виде административного штрафа в размере менее минимального размера,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ч.3.2, 3.3 ст.4.1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и, руководствуясь ст.ст.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Мавлютова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Джаудата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Сабирзяновича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12.34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двадцати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тысяч)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</w:t>
      </w:r>
      <w:r>
        <w:rPr>
          <w:rFonts w:ascii="Times New Roman" w:eastAsia="Times New Roman" w:hAnsi="Times New Roman" w:cs="Times New Roman"/>
          <w:sz w:val="28"/>
          <w:szCs w:val="28"/>
        </w:rPr>
        <w:t>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№11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5rplc-40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1487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__________________Н.С. Десяткина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номер счета получателя платежа 03100643000000018700 в РКЦ Ханты-Мансийск; БИК </w:t>
      </w:r>
      <w:r>
        <w:rPr>
          <w:rStyle w:val="cat-PhoneNumbergrp-28rplc-42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ОКТМО </w:t>
      </w:r>
      <w:r>
        <w:rPr>
          <w:rStyle w:val="cat-PhoneNumbergrp-29rplc-43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ИНН </w:t>
      </w:r>
      <w:r>
        <w:rPr>
          <w:rStyle w:val="cat-PhoneNumbergrp-30rplc-44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КПП </w:t>
      </w:r>
      <w:r>
        <w:rPr>
          <w:rStyle w:val="cat-PhoneNumbergrp-31rplc-4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КБК 18811601123010001140; Получатель: УФК по ХМАО-Югре (УМВД России по ХМАО-Югре);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УИН </w:t>
      </w:r>
      <w:r>
        <w:rPr>
          <w:rFonts w:ascii="Times New Roman" w:eastAsia="Times New Roman" w:hAnsi="Times New Roman" w:cs="Times New Roman"/>
          <w:sz w:val="20"/>
          <w:szCs w:val="20"/>
        </w:rPr>
        <w:t>188104862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74</w:t>
      </w:r>
      <w:r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>10166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708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не позднее 60 дней со дня вступления постановления о наложении административного штрафа в законную силу,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уплате в течение 60 дней с даты вступления постановления в законную силу, копия квитанции предоставляется в 105 каб. д.9 </w:t>
      </w:r>
      <w:r>
        <w:rPr>
          <w:rStyle w:val="cat-Addressgrp-8rplc-4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0rplc-4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</w:rPr>
        <w:t>Лица, несвоевременно уплатившие штраф, подлежат ответственности по ч. 1 ст. 20.25 КоАП РФ. Санкция указанной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OrganizationNamegrp-24rplc-7">
    <w:name w:val="cat-OrganizationName grp-24 rplc-7"/>
    <w:basedOn w:val="DefaultParagraphFont"/>
  </w:style>
  <w:style w:type="character" w:customStyle="1" w:styleId="cat-OrganizationNamegrp-23rplc-8">
    <w:name w:val="cat-OrganizationName grp-23 rplc-8"/>
    <w:basedOn w:val="DefaultParagraphFont"/>
  </w:style>
  <w:style w:type="character" w:customStyle="1" w:styleId="cat-ExternalSystemDefinedgrp-33rplc-10">
    <w:name w:val="cat-ExternalSystemDefined grp-33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UserDefinedgrp-35rplc-12">
    <w:name w:val="cat-UserDefined grp-35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PassportDatagrp-22rplc-14">
    <w:name w:val="cat-PassportData grp-22 rplc-14"/>
    <w:basedOn w:val="DefaultParagraphFont"/>
  </w:style>
  <w:style w:type="character" w:customStyle="1" w:styleId="cat-ExternalSystemDefinedgrp-34rplc-15">
    <w:name w:val="cat-ExternalSystemDefined grp-34 rplc-15"/>
    <w:basedOn w:val="DefaultParagraphFont"/>
  </w:style>
  <w:style w:type="character" w:customStyle="1" w:styleId="cat-ExternalSystemDefinedgrp-32rplc-16">
    <w:name w:val="cat-ExternalSystemDefined grp-32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Timegrp-25rplc-18">
    <w:name w:val="cat-Time grp-25 rplc-18"/>
    <w:basedOn w:val="DefaultParagraphFont"/>
  </w:style>
  <w:style w:type="character" w:customStyle="1" w:styleId="cat-OrganizationNamegrp-23rplc-19">
    <w:name w:val="cat-OrganizationName grp-23 rplc-19"/>
    <w:basedOn w:val="DefaultParagraphFont"/>
  </w:style>
  <w:style w:type="character" w:customStyle="1" w:styleId="cat-Addressgrp-6rplc-21">
    <w:name w:val="cat-Address grp-6 rplc-21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PhoneNumbergrp-26rplc-23">
    <w:name w:val="cat-PhoneNumber grp-26 rplc-23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Addressgrp-7rplc-26">
    <w:name w:val="cat-Address grp-7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PhoneNumbergrp-27rplc-28">
    <w:name w:val="cat-PhoneNumber grp-27 rplc-28"/>
    <w:basedOn w:val="DefaultParagraphFont"/>
  </w:style>
  <w:style w:type="character" w:customStyle="1" w:styleId="cat-PhoneNumbergrp-27rplc-29">
    <w:name w:val="cat-PhoneNumber grp-27 rplc-29"/>
    <w:basedOn w:val="DefaultParagraphFont"/>
  </w:style>
  <w:style w:type="character" w:customStyle="1" w:styleId="cat-PhoneNumbergrp-27rplc-30">
    <w:name w:val="cat-PhoneNumber grp-27 rplc-30"/>
    <w:basedOn w:val="DefaultParagraphFont"/>
  </w:style>
  <w:style w:type="character" w:customStyle="1" w:styleId="cat-Dategrp-13rplc-32">
    <w:name w:val="cat-Date grp-13 rplc-32"/>
    <w:basedOn w:val="DefaultParagraphFont"/>
  </w:style>
  <w:style w:type="character" w:customStyle="1" w:styleId="cat-Dategrp-14rplc-33">
    <w:name w:val="cat-Date grp-14 rplc-33"/>
    <w:basedOn w:val="DefaultParagraphFont"/>
  </w:style>
  <w:style w:type="character" w:customStyle="1" w:styleId="cat-Dategrp-15rplc-40">
    <w:name w:val="cat-Date grp-15 rplc-40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PhoneNumbergrp-29rplc-43">
    <w:name w:val="cat-PhoneNumber grp-29 rplc-43"/>
    <w:basedOn w:val="DefaultParagraphFont"/>
  </w:style>
  <w:style w:type="character" w:customStyle="1" w:styleId="cat-PhoneNumbergrp-30rplc-44">
    <w:name w:val="cat-PhoneNumber grp-30 rplc-44"/>
    <w:basedOn w:val="DefaultParagraphFont"/>
  </w:style>
  <w:style w:type="character" w:customStyle="1" w:styleId="cat-PhoneNumbergrp-31rplc-45">
    <w:name w:val="cat-PhoneNumber grp-31 rplc-45"/>
    <w:basedOn w:val="DefaultParagraphFont"/>
  </w:style>
  <w:style w:type="character" w:customStyle="1" w:styleId="cat-Addressgrp-8rplc-46">
    <w:name w:val="cat-Address grp-8 rplc-46"/>
    <w:basedOn w:val="DefaultParagraphFont"/>
  </w:style>
  <w:style w:type="character" w:customStyle="1" w:styleId="cat-Addressgrp-0rplc-47">
    <w:name w:val="cat-Address grp-0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384538.0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